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097" w:rsidRDefault="00A71097" w:rsidP="00A71097">
      <w:pPr>
        <w:jc w:val="center"/>
        <w:rPr>
          <w:rFonts w:ascii="Verdana" w:hAnsi="Verdana"/>
          <w:sz w:val="48"/>
          <w:szCs w:val="48"/>
          <w:lang w:val="en-GB"/>
        </w:rPr>
      </w:pPr>
      <w:r w:rsidRPr="00A71097">
        <w:rPr>
          <w:rFonts w:ascii="Verdana" w:hAnsi="Verdana"/>
          <w:sz w:val="48"/>
          <w:szCs w:val="48"/>
          <w:lang w:val="en-GB"/>
        </w:rPr>
        <w:t>INTERPRETING THE STORY OF</w:t>
      </w:r>
    </w:p>
    <w:p w:rsidR="00A71097" w:rsidRPr="00A71097" w:rsidRDefault="00A71097" w:rsidP="00A71097">
      <w:pPr>
        <w:jc w:val="center"/>
        <w:rPr>
          <w:rFonts w:ascii="Verdana" w:hAnsi="Verdana"/>
          <w:sz w:val="48"/>
          <w:szCs w:val="48"/>
          <w:lang w:val="en-GB"/>
        </w:rPr>
      </w:pPr>
      <w:r w:rsidRPr="00A71097">
        <w:rPr>
          <w:rFonts w:ascii="Verdana" w:hAnsi="Verdana"/>
          <w:sz w:val="48"/>
          <w:szCs w:val="48"/>
          <w:lang w:val="en-GB"/>
        </w:rPr>
        <w:t>SODOM AND GOMORRAH</w:t>
      </w:r>
    </w:p>
    <w:p w:rsidR="00A71097" w:rsidRDefault="00A71097" w:rsidP="00A71097">
      <w:pPr>
        <w:jc w:val="both"/>
        <w:rPr>
          <w:rFonts w:ascii="Book Antiqua" w:hAnsi="Book Antiqua"/>
          <w:b/>
          <w:bCs/>
          <w:sz w:val="28"/>
          <w:szCs w:val="28"/>
          <w:lang w:val="en-GB"/>
        </w:rPr>
      </w:pPr>
    </w:p>
    <w:p w:rsidR="00C56004" w:rsidRDefault="00C56004" w:rsidP="00A71097">
      <w:pPr>
        <w:jc w:val="both"/>
        <w:rPr>
          <w:rFonts w:ascii="Verdana" w:hAnsi="Verdana"/>
          <w:sz w:val="28"/>
          <w:szCs w:val="28"/>
          <w:lang w:val="en-GB"/>
        </w:rPr>
      </w:pPr>
    </w:p>
    <w:p w:rsidR="00A71097" w:rsidRPr="00A71097" w:rsidRDefault="00A71097" w:rsidP="00A71097">
      <w:pPr>
        <w:jc w:val="both"/>
        <w:rPr>
          <w:rFonts w:ascii="Verdana" w:hAnsi="Verdana"/>
          <w:sz w:val="28"/>
          <w:szCs w:val="28"/>
          <w:lang w:val="en-GB"/>
        </w:rPr>
      </w:pPr>
      <w:r w:rsidRPr="00A71097">
        <w:rPr>
          <w:rFonts w:ascii="Verdana" w:hAnsi="Verdana"/>
          <w:sz w:val="28"/>
          <w:szCs w:val="28"/>
          <w:lang w:val="en-GB"/>
        </w:rPr>
        <w:t>A brief summary of five chapters of the book</w:t>
      </w:r>
    </w:p>
    <w:p w:rsidR="00C56004" w:rsidRPr="00C56004" w:rsidRDefault="00A71097" w:rsidP="00A71097">
      <w:pPr>
        <w:jc w:val="both"/>
        <w:rPr>
          <w:rFonts w:ascii="Verdana" w:hAnsi="Verdana"/>
          <w:b/>
          <w:bCs/>
          <w:sz w:val="28"/>
          <w:szCs w:val="28"/>
          <w:lang w:val="en-GB"/>
        </w:rPr>
      </w:pPr>
      <w:r w:rsidRPr="00C56004">
        <w:rPr>
          <w:rFonts w:ascii="Verdana" w:hAnsi="Verdana"/>
          <w:b/>
          <w:bCs/>
          <w:sz w:val="28"/>
          <w:szCs w:val="28"/>
          <w:lang w:val="en-GB"/>
        </w:rPr>
        <w:t>L</w:t>
      </w:r>
      <w:r w:rsidR="00C56004" w:rsidRPr="00C56004">
        <w:rPr>
          <w:rFonts w:ascii="Verdana" w:hAnsi="Verdana"/>
          <w:b/>
          <w:bCs/>
          <w:sz w:val="28"/>
          <w:szCs w:val="28"/>
          <w:lang w:val="en-GB"/>
        </w:rPr>
        <w:t>ove Lost in Translation</w:t>
      </w:r>
      <w:r w:rsidRPr="00C56004">
        <w:rPr>
          <w:rFonts w:ascii="Verdana" w:hAnsi="Verdana"/>
          <w:b/>
          <w:bCs/>
          <w:sz w:val="28"/>
          <w:szCs w:val="28"/>
          <w:lang w:val="en-GB"/>
        </w:rPr>
        <w:t>: Homosexuality and the Bible</w:t>
      </w:r>
    </w:p>
    <w:p w:rsidR="00A71097" w:rsidRDefault="00C56004" w:rsidP="00A71097">
      <w:pPr>
        <w:jc w:val="both"/>
        <w:rPr>
          <w:rFonts w:ascii="Verdana" w:hAnsi="Verdana"/>
          <w:sz w:val="28"/>
          <w:szCs w:val="28"/>
          <w:lang w:val="en-GB"/>
        </w:rPr>
      </w:pPr>
      <w:r w:rsidRPr="00A71097">
        <w:rPr>
          <w:rFonts w:ascii="Verdana" w:hAnsi="Verdana"/>
          <w:sz w:val="28"/>
          <w:szCs w:val="28"/>
          <w:lang w:val="en-GB"/>
        </w:rPr>
        <w:t>B</w:t>
      </w:r>
      <w:r w:rsidR="00A71097" w:rsidRPr="00A71097">
        <w:rPr>
          <w:rFonts w:ascii="Verdana" w:hAnsi="Verdana"/>
          <w:sz w:val="28"/>
          <w:szCs w:val="28"/>
          <w:lang w:val="en-GB"/>
        </w:rPr>
        <w:t>y</w:t>
      </w:r>
      <w:r>
        <w:rPr>
          <w:rFonts w:ascii="Verdana" w:hAnsi="Verdana"/>
          <w:sz w:val="28"/>
          <w:szCs w:val="28"/>
          <w:lang w:val="en-GB"/>
        </w:rPr>
        <w:t xml:space="preserve"> </w:t>
      </w:r>
      <w:r w:rsidR="00A71097" w:rsidRPr="00A71097">
        <w:rPr>
          <w:rFonts w:ascii="Verdana" w:hAnsi="Verdana"/>
          <w:sz w:val="28"/>
          <w:szCs w:val="28"/>
          <w:lang w:val="en-GB"/>
        </w:rPr>
        <w:t xml:space="preserve">K. Renato Lings (Trafford Publishing, 2013) </w:t>
      </w:r>
    </w:p>
    <w:p w:rsidR="00C56004" w:rsidRPr="00A71097" w:rsidRDefault="00C56004" w:rsidP="00A71097">
      <w:pPr>
        <w:jc w:val="both"/>
        <w:rPr>
          <w:rFonts w:ascii="Verdana" w:hAnsi="Verdana"/>
          <w:sz w:val="28"/>
          <w:szCs w:val="28"/>
          <w:lang w:val="en-GB"/>
        </w:rPr>
      </w:pPr>
    </w:p>
    <w:p w:rsidR="00A71097" w:rsidRDefault="00A71097" w:rsidP="00A71097">
      <w:pPr>
        <w:jc w:val="both"/>
        <w:rPr>
          <w:rFonts w:ascii="Book Antiqua" w:hAnsi="Book Antiqua"/>
          <w:b/>
          <w:bCs/>
          <w:sz w:val="28"/>
          <w:szCs w:val="28"/>
          <w:lang w:val="en-GB"/>
        </w:rPr>
      </w:pPr>
    </w:p>
    <w:p w:rsidR="00C421CF" w:rsidRDefault="00C421CF" w:rsidP="00A71097">
      <w:pPr>
        <w:jc w:val="both"/>
        <w:rPr>
          <w:rFonts w:ascii="Book Antiqua" w:hAnsi="Book Antiqua"/>
          <w:b/>
          <w:bCs/>
          <w:sz w:val="28"/>
          <w:szCs w:val="28"/>
          <w:lang w:val="en-GB"/>
        </w:rPr>
      </w:pPr>
    </w:p>
    <w:p w:rsidR="00A71097" w:rsidRPr="00C421CF" w:rsidRDefault="00A71097" w:rsidP="00A71097">
      <w:pPr>
        <w:jc w:val="both"/>
        <w:rPr>
          <w:rFonts w:ascii="Verdana" w:hAnsi="Verdana"/>
          <w:b/>
          <w:bCs/>
          <w:sz w:val="28"/>
          <w:szCs w:val="28"/>
          <w:lang w:val="en-GB"/>
        </w:rPr>
      </w:pPr>
      <w:r w:rsidRPr="00C421CF">
        <w:rPr>
          <w:rFonts w:ascii="Verdana" w:hAnsi="Verdana"/>
          <w:b/>
          <w:bCs/>
          <w:sz w:val="28"/>
          <w:szCs w:val="28"/>
          <w:lang w:val="en-GB"/>
        </w:rPr>
        <w:t>7. SODOM IN THE BIBLE</w:t>
      </w:r>
    </w:p>
    <w:p w:rsidR="00A71097" w:rsidRPr="00BC20EB" w:rsidRDefault="00A71097" w:rsidP="00A71097">
      <w:pPr>
        <w:jc w:val="both"/>
        <w:rPr>
          <w:rFonts w:ascii="Book Antiqua" w:hAnsi="Book Antiqua"/>
          <w:lang w:val="en-GB"/>
        </w:rPr>
      </w:pPr>
    </w:p>
    <w:p w:rsidR="00A71097" w:rsidRDefault="00A71097" w:rsidP="00A71097">
      <w:pPr>
        <w:jc w:val="both"/>
        <w:rPr>
          <w:rFonts w:ascii="Book Antiqua" w:hAnsi="Book Antiqua"/>
          <w:lang w:val="en-GB"/>
        </w:rPr>
      </w:pPr>
      <w:r w:rsidRPr="00BC20EB">
        <w:rPr>
          <w:rFonts w:ascii="Book Antiqua" w:hAnsi="Book Antiqua"/>
          <w:lang w:val="en-GB"/>
        </w:rPr>
        <w:t xml:space="preserve">By far the most important text in the Bible in relation to the history of persecution of </w:t>
      </w:r>
      <w:r w:rsidR="00357A8E">
        <w:rPr>
          <w:rFonts w:ascii="Book Antiqua" w:hAnsi="Book Antiqua"/>
          <w:lang w:val="en-GB"/>
        </w:rPr>
        <w:t>same-sex</w:t>
      </w:r>
      <w:r w:rsidRPr="00BC20EB">
        <w:rPr>
          <w:rFonts w:ascii="Book Antiqua" w:hAnsi="Book Antiqua"/>
          <w:lang w:val="en-GB"/>
        </w:rPr>
        <w:t xml:space="preserve"> relationships is the story of Sodom and Gomorrah. The reception history may be divided into four paradigms A, B, C, and D. Paradigm A is found in the prophetic writings, where the name of Sodom is used as a metaphor for idolatry</w:t>
      </w:r>
      <w:r>
        <w:rPr>
          <w:rFonts w:ascii="Book Antiqua" w:hAnsi="Book Antiqua"/>
          <w:lang w:val="en-GB"/>
        </w:rPr>
        <w:t xml:space="preserve">, political corruption and </w:t>
      </w:r>
      <w:r w:rsidR="00357A8E">
        <w:rPr>
          <w:rFonts w:ascii="Book Antiqua" w:hAnsi="Book Antiqua"/>
          <w:lang w:val="en-GB"/>
        </w:rPr>
        <w:t xml:space="preserve">shocking social </w:t>
      </w:r>
      <w:r w:rsidRPr="00BC20EB">
        <w:rPr>
          <w:rFonts w:ascii="Book Antiqua" w:hAnsi="Book Antiqua"/>
          <w:lang w:val="en-GB"/>
        </w:rPr>
        <w:t xml:space="preserve">injustice. </w:t>
      </w:r>
      <w:r>
        <w:rPr>
          <w:rFonts w:ascii="Book Antiqua" w:hAnsi="Book Antiqua"/>
          <w:lang w:val="en-GB"/>
        </w:rPr>
        <w:t xml:space="preserve">Examples are Isaiah 1 and Ezekiel 16. </w:t>
      </w:r>
      <w:r w:rsidRPr="00BC20EB">
        <w:rPr>
          <w:rFonts w:ascii="Book Antiqua" w:hAnsi="Book Antiqua"/>
          <w:lang w:val="en-GB"/>
        </w:rPr>
        <w:t>In general terms, Sodom signifies a society on a collision course with the commandments of Y</w:t>
      </w:r>
      <w:r w:rsidRPr="00BC20EB">
        <w:rPr>
          <w:rFonts w:ascii="Book Antiqua" w:hAnsi="Book Antiqua"/>
          <w:sz w:val="20"/>
          <w:szCs w:val="20"/>
          <w:lang w:val="en-GB"/>
        </w:rPr>
        <w:t>HWH</w:t>
      </w:r>
      <w:r w:rsidRPr="00BC20EB">
        <w:rPr>
          <w:rFonts w:ascii="Book Antiqua" w:hAnsi="Book Antiqua"/>
          <w:lang w:val="en-GB"/>
        </w:rPr>
        <w:t>, God of Israel.</w:t>
      </w:r>
      <w:r>
        <w:rPr>
          <w:rFonts w:ascii="Book Antiqua" w:hAnsi="Book Antiqua"/>
          <w:lang w:val="en-GB"/>
        </w:rPr>
        <w:t xml:space="preserve"> </w:t>
      </w:r>
      <w:r w:rsidRPr="00BC20EB">
        <w:rPr>
          <w:rFonts w:ascii="Book Antiqua" w:hAnsi="Book Antiqua"/>
          <w:lang w:val="en-GB"/>
        </w:rPr>
        <w:t xml:space="preserve">Within paradigm A, the victims of the transgressions of the city are </w:t>
      </w:r>
      <w:r>
        <w:rPr>
          <w:rFonts w:ascii="Book Antiqua" w:hAnsi="Book Antiqua"/>
          <w:lang w:val="en-GB"/>
        </w:rPr>
        <w:t xml:space="preserve">found among </w:t>
      </w:r>
      <w:r w:rsidR="00357A8E">
        <w:rPr>
          <w:rFonts w:ascii="Book Antiqua" w:hAnsi="Book Antiqua"/>
          <w:lang w:val="en-GB"/>
        </w:rPr>
        <w:t>oppressed</w:t>
      </w:r>
      <w:r>
        <w:rPr>
          <w:rFonts w:ascii="Book Antiqua" w:hAnsi="Book Antiqua"/>
          <w:lang w:val="en-GB"/>
        </w:rPr>
        <w:t xml:space="preserve"> inhabitants</w:t>
      </w:r>
      <w:r w:rsidR="00357A8E">
        <w:rPr>
          <w:rFonts w:ascii="Book Antiqua" w:hAnsi="Book Antiqua"/>
          <w:lang w:val="en-GB"/>
        </w:rPr>
        <w:t xml:space="preserve"> or sojourners</w:t>
      </w:r>
      <w:r>
        <w:rPr>
          <w:rFonts w:ascii="Book Antiqua" w:hAnsi="Book Antiqua"/>
          <w:lang w:val="en-GB"/>
        </w:rPr>
        <w:t>.</w:t>
      </w:r>
    </w:p>
    <w:p w:rsidR="00A71097"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In Hellenistic times, the focus changes </w:t>
      </w:r>
      <w:r>
        <w:rPr>
          <w:rFonts w:ascii="Book Antiqua" w:hAnsi="Book Antiqua"/>
          <w:lang w:val="en-GB"/>
        </w:rPr>
        <w:t xml:space="preserve">from oppressed inhabitants </w:t>
      </w:r>
      <w:r w:rsidRPr="00BC20EB">
        <w:rPr>
          <w:rFonts w:ascii="Book Antiqua" w:hAnsi="Book Antiqua"/>
          <w:lang w:val="en-GB"/>
        </w:rPr>
        <w:t xml:space="preserve">to </w:t>
      </w:r>
      <w:r w:rsidR="00357A8E">
        <w:rPr>
          <w:rFonts w:ascii="Book Antiqua" w:hAnsi="Book Antiqua"/>
          <w:lang w:val="en-GB"/>
        </w:rPr>
        <w:t xml:space="preserve">visitors who are assaulted or molested </w:t>
      </w:r>
      <w:r w:rsidRPr="00BC20EB">
        <w:rPr>
          <w:rFonts w:ascii="Book Antiqua" w:hAnsi="Book Antiqua"/>
          <w:lang w:val="en-GB"/>
        </w:rPr>
        <w:t>(paradigm B)</w:t>
      </w:r>
      <w:r w:rsidR="00357A8E">
        <w:rPr>
          <w:rFonts w:ascii="Book Antiqua" w:hAnsi="Book Antiqua"/>
          <w:lang w:val="en-GB"/>
        </w:rPr>
        <w:t>. This</w:t>
      </w:r>
      <w:r w:rsidRPr="00BC20EB">
        <w:rPr>
          <w:rFonts w:ascii="Book Antiqua" w:hAnsi="Book Antiqua"/>
          <w:lang w:val="en-GB"/>
        </w:rPr>
        <w:t xml:space="preserve"> is evident in the </w:t>
      </w:r>
      <w:r w:rsidRPr="00BC20EB">
        <w:rPr>
          <w:rFonts w:ascii="Book Antiqua" w:hAnsi="Book Antiqua"/>
          <w:i/>
          <w:iCs/>
          <w:lang w:val="en-GB"/>
        </w:rPr>
        <w:t>Book of Wisdom</w:t>
      </w:r>
      <w:r w:rsidRPr="00BC20EB">
        <w:rPr>
          <w:rFonts w:ascii="Book Antiqua" w:hAnsi="Book Antiqua"/>
          <w:lang w:val="en-GB"/>
        </w:rPr>
        <w:t xml:space="preserve"> (</w:t>
      </w:r>
      <w:r w:rsidRPr="00BC20EB">
        <w:rPr>
          <w:rFonts w:ascii="Book Antiqua" w:hAnsi="Book Antiqua"/>
          <w:i/>
          <w:iCs/>
          <w:lang w:val="en-GB"/>
        </w:rPr>
        <w:t>Wisdom of Solomon</w:t>
      </w:r>
      <w:r w:rsidRPr="00BC20EB">
        <w:rPr>
          <w:rFonts w:ascii="Book Antiqua" w:hAnsi="Book Antiqua"/>
          <w:lang w:val="en-GB"/>
        </w:rPr>
        <w:t xml:space="preserve">) and the four gospels. </w:t>
      </w:r>
      <w:r>
        <w:rPr>
          <w:rFonts w:ascii="Book Antiqua" w:hAnsi="Book Antiqua"/>
          <w:lang w:val="en-GB"/>
        </w:rPr>
        <w:t xml:space="preserve">Many </w:t>
      </w:r>
      <w:r w:rsidRPr="00BC20EB">
        <w:rPr>
          <w:rFonts w:ascii="Book Antiqua" w:hAnsi="Book Antiqua"/>
          <w:lang w:val="en-GB"/>
        </w:rPr>
        <w:t xml:space="preserve">Hellenistic writers depict the sin of Sodom as inhospitality. Beginning in the first century BCE, paradigm C appears on the scene. It focuses on “problematic sexual relationships”. Particularly, it is indebted to the pseudepigrapha. For instance, the letter of Jude suggests that the inhabitants of Sodom were “promiscuous” and violated the boundary between the divine and human spheres as they felt tempted by “other flesh”, which is an allusion to celestial beings. The Second Letter of Peter comments on the “dissolute” lives led by </w:t>
      </w:r>
      <w:r>
        <w:rPr>
          <w:rFonts w:ascii="Book Antiqua" w:hAnsi="Book Antiqua"/>
          <w:lang w:val="en-GB"/>
        </w:rPr>
        <w:t>licentious</w:t>
      </w:r>
      <w:r w:rsidRPr="00BC20EB">
        <w:rPr>
          <w:rFonts w:ascii="Book Antiqua" w:hAnsi="Book Antiqua"/>
          <w:lang w:val="en-GB"/>
        </w:rPr>
        <w:t xml:space="preserve"> people.</w:t>
      </w:r>
      <w:r w:rsidR="00357A8E">
        <w:rPr>
          <w:rFonts w:ascii="Book Antiqua" w:hAnsi="Book Antiqua"/>
          <w:lang w:val="en-GB"/>
        </w:rPr>
        <w:t xml:space="preserve">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Historically speaking, paradigms B and C jointly form the </w:t>
      </w:r>
      <w:r>
        <w:rPr>
          <w:rFonts w:ascii="Book Antiqua" w:hAnsi="Book Antiqua"/>
          <w:lang w:val="en-GB"/>
        </w:rPr>
        <w:t xml:space="preserve">early </w:t>
      </w:r>
      <w:r w:rsidRPr="00BC20EB">
        <w:rPr>
          <w:rFonts w:ascii="Book Antiqua" w:hAnsi="Book Antiqua"/>
          <w:lang w:val="en-GB"/>
        </w:rPr>
        <w:t xml:space="preserve">basis of </w:t>
      </w:r>
      <w:r>
        <w:rPr>
          <w:rFonts w:ascii="Book Antiqua" w:hAnsi="Book Antiqua"/>
          <w:lang w:val="en-GB"/>
        </w:rPr>
        <w:t xml:space="preserve">later </w:t>
      </w:r>
      <w:r w:rsidRPr="00BC20EB">
        <w:rPr>
          <w:rFonts w:ascii="Book Antiqua" w:hAnsi="Book Antiqua"/>
          <w:lang w:val="en-GB"/>
        </w:rPr>
        <w:t xml:space="preserve">Christian perceptions of Sodom and Gomorrah. Over time, the </w:t>
      </w:r>
      <w:r>
        <w:rPr>
          <w:rFonts w:ascii="Book Antiqua" w:hAnsi="Book Antiqua"/>
          <w:lang w:val="en-GB"/>
        </w:rPr>
        <w:t>original</w:t>
      </w:r>
      <w:r w:rsidRPr="00BC20EB">
        <w:rPr>
          <w:rFonts w:ascii="Book Antiqua" w:hAnsi="Book Antiqua"/>
          <w:lang w:val="en-GB"/>
        </w:rPr>
        <w:t xml:space="preserve"> paradigm A disappears or is mostly ignored.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b/>
          <w:bCs/>
          <w:sz w:val="28"/>
          <w:szCs w:val="28"/>
          <w:lang w:val="en-GB"/>
        </w:rPr>
      </w:pPr>
      <w:r w:rsidRPr="00BC20EB">
        <w:rPr>
          <w:rFonts w:ascii="Book Antiqua" w:hAnsi="Book Antiqua"/>
          <w:b/>
          <w:bCs/>
          <w:sz w:val="28"/>
          <w:szCs w:val="28"/>
          <w:lang w:val="en-GB"/>
        </w:rPr>
        <w:t>8. SODOM YESTERDAY</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The Jewish philosopher Philo of Alexandria (1</w:t>
      </w:r>
      <w:r w:rsidRPr="00BC20EB">
        <w:rPr>
          <w:rFonts w:ascii="Book Antiqua" w:hAnsi="Book Antiqua"/>
          <w:vertAlign w:val="superscript"/>
          <w:lang w:val="en-GB"/>
        </w:rPr>
        <w:t>st</w:t>
      </w:r>
      <w:r w:rsidRPr="00BC20EB">
        <w:rPr>
          <w:rFonts w:ascii="Book Antiqua" w:hAnsi="Book Antiqua"/>
          <w:lang w:val="en-GB"/>
        </w:rPr>
        <w:t xml:space="preserve"> century BCE) became decisive for Christian perceptions of the drama of Sodom and Gomorrah. Philo used the Septuagint and took the story in Genesis to be an indictment of pederasty. The church fathers developed Philo’s views further, adopting a</w:t>
      </w:r>
      <w:r>
        <w:rPr>
          <w:rFonts w:ascii="Book Antiqua" w:hAnsi="Book Antiqua"/>
          <w:lang w:val="en-GB"/>
        </w:rPr>
        <w:t xml:space="preserve"> wholesale</w:t>
      </w:r>
      <w:r w:rsidRPr="00BC20EB">
        <w:rPr>
          <w:rFonts w:ascii="Book Antiqua" w:hAnsi="Book Antiqua"/>
          <w:lang w:val="en-GB"/>
        </w:rPr>
        <w:t xml:space="preserve"> rejection of homoerotic </w:t>
      </w:r>
      <w:r w:rsidRPr="00BC20EB">
        <w:rPr>
          <w:rFonts w:ascii="Book Antiqua" w:hAnsi="Book Antiqua"/>
          <w:lang w:val="en-GB"/>
        </w:rPr>
        <w:lastRenderedPageBreak/>
        <w:t>relationships. This specific twist on paradigm C may be called paradigm D. During the Middle Ages, human sexuality came to be regarded as a driving force to ensure procreation. All other kinds of sexual pleasure were classified as sinful or “unnatural”. In the eleventh century the Bible was read in Latin</w:t>
      </w:r>
      <w:r w:rsidR="00357A8E">
        <w:rPr>
          <w:rFonts w:ascii="Book Antiqua" w:hAnsi="Book Antiqua"/>
          <w:lang w:val="en-GB"/>
        </w:rPr>
        <w:t xml:space="preserve">. The </w:t>
      </w:r>
      <w:r w:rsidR="00C64DA8">
        <w:rPr>
          <w:rFonts w:ascii="Book Antiqua" w:hAnsi="Book Antiqua"/>
          <w:lang w:val="en-GB"/>
        </w:rPr>
        <w:t xml:space="preserve">Italian </w:t>
      </w:r>
      <w:r w:rsidR="00357A8E">
        <w:rPr>
          <w:rFonts w:ascii="Book Antiqua" w:hAnsi="Book Antiqua"/>
          <w:lang w:val="en-GB"/>
        </w:rPr>
        <w:t xml:space="preserve">monk Peter Damian </w:t>
      </w:r>
      <w:r w:rsidR="00C64DA8">
        <w:rPr>
          <w:rFonts w:ascii="Book Antiqua" w:hAnsi="Book Antiqua"/>
          <w:lang w:val="en-GB"/>
        </w:rPr>
        <w:t xml:space="preserve">coined a new term </w:t>
      </w:r>
      <w:r w:rsidRPr="00BC20EB">
        <w:rPr>
          <w:rFonts w:ascii="Book Antiqua" w:hAnsi="Book Antiqua"/>
          <w:lang w:val="en-GB"/>
        </w:rPr>
        <w:t>“sodomy”</w:t>
      </w:r>
      <w:r w:rsidR="00C64DA8">
        <w:rPr>
          <w:rFonts w:ascii="Book Antiqua" w:hAnsi="Book Antiqua"/>
          <w:lang w:val="en-GB"/>
        </w:rPr>
        <w:t xml:space="preserve">, which </w:t>
      </w:r>
      <w:r>
        <w:rPr>
          <w:rFonts w:ascii="Book Antiqua" w:hAnsi="Book Antiqua"/>
          <w:lang w:val="en-GB"/>
        </w:rPr>
        <w:t>specific</w:t>
      </w:r>
      <w:r w:rsidR="00C64DA8">
        <w:rPr>
          <w:rFonts w:ascii="Book Antiqua" w:hAnsi="Book Antiqua"/>
          <w:lang w:val="en-GB"/>
        </w:rPr>
        <w:t>ally referred to se</w:t>
      </w:r>
      <w:r>
        <w:rPr>
          <w:rFonts w:ascii="Book Antiqua" w:hAnsi="Book Antiqua"/>
          <w:lang w:val="en-GB"/>
        </w:rPr>
        <w:t>x between men</w:t>
      </w:r>
      <w:r w:rsidRPr="00BC20EB">
        <w:rPr>
          <w:rFonts w:ascii="Book Antiqua" w:hAnsi="Book Antiqua"/>
          <w:lang w:val="en-GB"/>
        </w:rPr>
        <w:t>. As from the thirteenth century</w:t>
      </w:r>
      <w:r w:rsidR="00C64DA8">
        <w:rPr>
          <w:rFonts w:ascii="Book Antiqua" w:hAnsi="Book Antiqua"/>
          <w:lang w:val="en-GB"/>
        </w:rPr>
        <w:t>,</w:t>
      </w:r>
      <w:r w:rsidRPr="00BC20EB">
        <w:rPr>
          <w:rFonts w:ascii="Book Antiqua" w:hAnsi="Book Antiqua"/>
          <w:lang w:val="en-GB"/>
        </w:rPr>
        <w:t xml:space="preserve"> </w:t>
      </w:r>
      <w:r w:rsidR="00C64DA8">
        <w:rPr>
          <w:rFonts w:ascii="Book Antiqua" w:hAnsi="Book Antiqua"/>
          <w:lang w:val="en-GB"/>
        </w:rPr>
        <w:t>“</w:t>
      </w:r>
      <w:r w:rsidRPr="00BC20EB">
        <w:rPr>
          <w:rFonts w:ascii="Book Antiqua" w:hAnsi="Book Antiqua"/>
          <w:lang w:val="en-GB"/>
        </w:rPr>
        <w:t>sodomy</w:t>
      </w:r>
      <w:r w:rsidR="00C64DA8">
        <w:rPr>
          <w:rFonts w:ascii="Book Antiqua" w:hAnsi="Book Antiqua"/>
          <w:lang w:val="en-GB"/>
        </w:rPr>
        <w:t>”</w:t>
      </w:r>
      <w:r w:rsidRPr="00BC20EB">
        <w:rPr>
          <w:rFonts w:ascii="Book Antiqua" w:hAnsi="Book Antiqua"/>
          <w:lang w:val="en-GB"/>
        </w:rPr>
        <w:t xml:space="preserve"> </w:t>
      </w:r>
      <w:r>
        <w:rPr>
          <w:rFonts w:ascii="Book Antiqua" w:hAnsi="Book Antiqua"/>
          <w:lang w:val="en-GB"/>
        </w:rPr>
        <w:t xml:space="preserve">included </w:t>
      </w:r>
      <w:r w:rsidRPr="00BC20EB">
        <w:rPr>
          <w:rFonts w:ascii="Book Antiqua" w:hAnsi="Book Antiqua"/>
          <w:lang w:val="en-GB"/>
        </w:rPr>
        <w:t xml:space="preserve">sexual relationships between women.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The Protestant Reformation </w:t>
      </w:r>
      <w:r>
        <w:rPr>
          <w:rFonts w:ascii="Book Antiqua" w:hAnsi="Book Antiqua"/>
          <w:lang w:val="en-GB"/>
        </w:rPr>
        <w:t>abandon</w:t>
      </w:r>
      <w:r w:rsidRPr="00BC20EB">
        <w:rPr>
          <w:rFonts w:ascii="Book Antiqua" w:hAnsi="Book Antiqua"/>
          <w:lang w:val="en-GB"/>
        </w:rPr>
        <w:t xml:space="preserve">ed a large part of the Catholic heritage, particularly by emphasizing the principle of </w:t>
      </w:r>
      <w:r w:rsidRPr="00BC20EB">
        <w:rPr>
          <w:rFonts w:ascii="Book Antiqua" w:hAnsi="Book Antiqua"/>
          <w:i/>
          <w:iCs/>
          <w:lang w:val="en-GB"/>
        </w:rPr>
        <w:t>sola scriptura</w:t>
      </w:r>
      <w:r w:rsidRPr="00BC20EB">
        <w:rPr>
          <w:rFonts w:ascii="Book Antiqua" w:hAnsi="Book Antiqua"/>
          <w:lang w:val="en-GB"/>
        </w:rPr>
        <w:t xml:space="preserve">. However, the </w:t>
      </w:r>
      <w:r w:rsidR="00C64DA8">
        <w:rPr>
          <w:rFonts w:ascii="Book Antiqua" w:hAnsi="Book Antiqua"/>
          <w:lang w:val="en-GB"/>
        </w:rPr>
        <w:t xml:space="preserve">medieval </w:t>
      </w:r>
      <w:r w:rsidRPr="00BC20EB">
        <w:rPr>
          <w:rFonts w:ascii="Book Antiqua" w:hAnsi="Book Antiqua"/>
          <w:lang w:val="en-GB"/>
        </w:rPr>
        <w:t xml:space="preserve">definition of sodomy as a deadly sin was accepted unexamined. </w:t>
      </w:r>
      <w:r>
        <w:rPr>
          <w:rFonts w:ascii="Book Antiqua" w:hAnsi="Book Antiqua"/>
          <w:lang w:val="en-GB"/>
        </w:rPr>
        <w:t>Thus, p</w:t>
      </w:r>
      <w:r w:rsidRPr="00BC20EB">
        <w:rPr>
          <w:rFonts w:ascii="Book Antiqua" w:hAnsi="Book Antiqua"/>
          <w:lang w:val="en-GB"/>
        </w:rPr>
        <w:t xml:space="preserve">aradigm D has lived on for centuries and to this day the term sodomy exists in the penal codes of </w:t>
      </w:r>
      <w:r w:rsidR="00C64DA8">
        <w:rPr>
          <w:rFonts w:ascii="Book Antiqua" w:hAnsi="Book Antiqua"/>
          <w:lang w:val="en-GB"/>
        </w:rPr>
        <w:t>numerous</w:t>
      </w:r>
      <w:r w:rsidRPr="00BC20EB">
        <w:rPr>
          <w:rFonts w:ascii="Book Antiqua" w:hAnsi="Book Antiqua"/>
          <w:lang w:val="en-GB"/>
        </w:rPr>
        <w:t xml:space="preserve"> countries. Only </w:t>
      </w:r>
      <w:r w:rsidR="00C64DA8">
        <w:rPr>
          <w:rFonts w:ascii="Book Antiqua" w:hAnsi="Book Antiqua"/>
          <w:lang w:val="en-GB"/>
        </w:rPr>
        <w:t xml:space="preserve">during the second half </w:t>
      </w:r>
      <w:r w:rsidRPr="00BC20EB">
        <w:rPr>
          <w:rFonts w:ascii="Book Antiqua" w:hAnsi="Book Antiqua"/>
          <w:lang w:val="en-GB"/>
        </w:rPr>
        <w:t xml:space="preserve">of the </w:t>
      </w:r>
      <w:r w:rsidR="00C64DA8">
        <w:rPr>
          <w:rFonts w:ascii="Book Antiqua" w:hAnsi="Book Antiqua"/>
          <w:lang w:val="en-GB"/>
        </w:rPr>
        <w:t>twentie</w:t>
      </w:r>
      <w:r w:rsidRPr="00BC20EB">
        <w:rPr>
          <w:rFonts w:ascii="Book Antiqua" w:hAnsi="Book Antiqua"/>
          <w:lang w:val="en-GB"/>
        </w:rPr>
        <w:t xml:space="preserve">th century the concept </w:t>
      </w:r>
      <w:r>
        <w:rPr>
          <w:rFonts w:ascii="Book Antiqua" w:hAnsi="Book Antiqua"/>
          <w:lang w:val="en-GB"/>
        </w:rPr>
        <w:t>has been</w:t>
      </w:r>
      <w:r w:rsidRPr="00BC20EB">
        <w:rPr>
          <w:rFonts w:ascii="Book Antiqua" w:hAnsi="Book Antiqua"/>
          <w:lang w:val="en-GB"/>
        </w:rPr>
        <w:t xml:space="preserve"> challenged by the new word “homosexuality”, which </w:t>
      </w:r>
      <w:r w:rsidR="00C64DA8">
        <w:rPr>
          <w:rFonts w:ascii="Book Antiqua" w:hAnsi="Book Antiqua"/>
          <w:lang w:val="en-GB"/>
        </w:rPr>
        <w:t xml:space="preserve">came into existence in the late nineteenth century. </w:t>
      </w:r>
      <w:r w:rsidRPr="00BC20EB">
        <w:rPr>
          <w:rFonts w:ascii="Book Antiqua" w:hAnsi="Book Antiqua"/>
          <w:lang w:val="en-GB"/>
        </w:rPr>
        <w:t xml:space="preserve">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b/>
          <w:bCs/>
          <w:sz w:val="28"/>
          <w:szCs w:val="28"/>
          <w:lang w:val="en-GB"/>
        </w:rPr>
      </w:pPr>
      <w:r w:rsidRPr="00BC20EB">
        <w:rPr>
          <w:rFonts w:ascii="Book Antiqua" w:hAnsi="Book Antiqua"/>
          <w:b/>
          <w:bCs/>
          <w:sz w:val="28"/>
          <w:szCs w:val="28"/>
          <w:lang w:val="en-GB"/>
        </w:rPr>
        <w:t>9. SODOM TODAY</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The hermeneutical uniformity in Christian approaches to the story of Sodom and Gomorrah is now a thing of the past. Paradigm D still exists but occurs in two variants. In one variant Sodom</w:t>
      </w:r>
      <w:r>
        <w:rPr>
          <w:rFonts w:ascii="Book Antiqua" w:hAnsi="Book Antiqua"/>
          <w:lang w:val="en-GB"/>
        </w:rPr>
        <w:t xml:space="preserve"> is presented as a hotbed of </w:t>
      </w:r>
      <w:r w:rsidRPr="00BC20EB">
        <w:rPr>
          <w:rFonts w:ascii="Book Antiqua" w:hAnsi="Book Antiqua"/>
          <w:lang w:val="en-GB"/>
        </w:rPr>
        <w:t xml:space="preserve">vice in the form of “homosexuality”. In the other many exegetes are pointing out that the biblical story says nothing about intimate relationships between two persons of the same sex. The latter </w:t>
      </w:r>
      <w:r>
        <w:rPr>
          <w:rFonts w:ascii="Book Antiqua" w:hAnsi="Book Antiqua"/>
          <w:lang w:val="en-GB"/>
        </w:rPr>
        <w:t>scholars</w:t>
      </w:r>
      <w:r w:rsidRPr="00BC20EB">
        <w:rPr>
          <w:rFonts w:ascii="Book Antiqua" w:hAnsi="Book Antiqua"/>
          <w:lang w:val="en-GB"/>
        </w:rPr>
        <w:t xml:space="preserve"> describe the problem of Sodom as attempted </w:t>
      </w:r>
      <w:r>
        <w:rPr>
          <w:rFonts w:ascii="Book Antiqua" w:hAnsi="Book Antiqua"/>
          <w:lang w:val="en-GB"/>
        </w:rPr>
        <w:t xml:space="preserve">gang </w:t>
      </w:r>
      <w:r w:rsidRPr="00BC20EB">
        <w:rPr>
          <w:rFonts w:ascii="Book Antiqua" w:hAnsi="Book Antiqua"/>
          <w:lang w:val="en-GB"/>
        </w:rPr>
        <w:t xml:space="preserve">rape. Among today’s commentators, Lot has </w:t>
      </w:r>
      <w:r>
        <w:rPr>
          <w:rFonts w:ascii="Book Antiqua" w:hAnsi="Book Antiqua"/>
          <w:lang w:val="en-GB"/>
        </w:rPr>
        <w:t>many detractors and few defender</w:t>
      </w:r>
      <w:r w:rsidRPr="00BC20EB">
        <w:rPr>
          <w:rFonts w:ascii="Book Antiqua" w:hAnsi="Book Antiqua"/>
          <w:lang w:val="en-GB"/>
        </w:rPr>
        <w:t xml:space="preserve">s. </w:t>
      </w:r>
      <w:r>
        <w:rPr>
          <w:rFonts w:ascii="Book Antiqua" w:hAnsi="Book Antiqua"/>
          <w:lang w:val="en-GB"/>
        </w:rPr>
        <w:t xml:space="preserve">Most </w:t>
      </w:r>
      <w:r w:rsidRPr="00BC20EB">
        <w:rPr>
          <w:rFonts w:ascii="Book Antiqua" w:hAnsi="Book Antiqua"/>
          <w:lang w:val="en-GB"/>
        </w:rPr>
        <w:t>regard</w:t>
      </w:r>
      <w:r>
        <w:rPr>
          <w:rFonts w:ascii="Book Antiqua" w:hAnsi="Book Antiqua"/>
          <w:lang w:val="en-GB"/>
        </w:rPr>
        <w:t xml:space="preserve"> him </w:t>
      </w:r>
      <w:r w:rsidRPr="00BC20EB">
        <w:rPr>
          <w:rFonts w:ascii="Book Antiqua" w:hAnsi="Book Antiqua"/>
          <w:lang w:val="en-GB"/>
        </w:rPr>
        <w:t xml:space="preserve">as a hopeless, immoral father.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Several queer theologians define the destruction of Sodom as genocide, </w:t>
      </w:r>
      <w:r>
        <w:rPr>
          <w:rFonts w:ascii="Book Antiqua" w:hAnsi="Book Antiqua"/>
          <w:lang w:val="en-GB"/>
        </w:rPr>
        <w:t xml:space="preserve">pointing out that this crime </w:t>
      </w:r>
      <w:r w:rsidRPr="00BC20EB">
        <w:rPr>
          <w:rFonts w:ascii="Book Antiqua" w:hAnsi="Book Antiqua"/>
          <w:lang w:val="en-GB"/>
        </w:rPr>
        <w:t xml:space="preserve">clashes with the image of a deity of justice. Postcolonial exegetes draw attention to the fact that all biblical texts, including Sodom and Gomorrah, were written for a purpose. Given that Sodom was founded by Canaanites, the story may be viewed as part of a lengthy, literary polemic against the native population of the land of Canaan. </w:t>
      </w:r>
      <w:r>
        <w:rPr>
          <w:rFonts w:ascii="Book Antiqua" w:hAnsi="Book Antiqua"/>
          <w:lang w:val="en-GB"/>
        </w:rPr>
        <w:t>Furthermore, a</w:t>
      </w:r>
      <w:r w:rsidRPr="00BC20EB">
        <w:rPr>
          <w:rFonts w:ascii="Book Antiqua" w:hAnsi="Book Antiqua"/>
          <w:lang w:val="en-GB"/>
        </w:rPr>
        <w:t xml:space="preserve"> few scholars argue that the popular sexual interpretation of the story overlooks several ambiguities in the Hebrew text. One example is the key word </w:t>
      </w:r>
      <w:r w:rsidRPr="00BC20EB">
        <w:rPr>
          <w:rFonts w:ascii="Book Antiqua" w:hAnsi="Book Antiqua"/>
          <w:i/>
          <w:lang w:val="en-GB"/>
        </w:rPr>
        <w:t>yada</w:t>
      </w:r>
      <w:r w:rsidR="00C64DA8" w:rsidRPr="00C64DA8">
        <w:rPr>
          <w:rFonts w:ascii="Book Antiqua" w:hAnsi="Book Antiqua"/>
          <w:i/>
          <w:iCs/>
          <w:lang w:val="en-GB"/>
        </w:rPr>
        <w:t>ħ</w:t>
      </w:r>
      <w:r w:rsidRPr="00BC20EB">
        <w:rPr>
          <w:rFonts w:ascii="Book Antiqua" w:hAnsi="Book Antiqua"/>
          <w:lang w:val="en-GB"/>
        </w:rPr>
        <w:t>. Until very recently, the legal aspects of this essential verb have been</w:t>
      </w:r>
      <w:r w:rsidR="00305CA1">
        <w:rPr>
          <w:rFonts w:ascii="Book Antiqua" w:hAnsi="Book Antiqua"/>
          <w:lang w:val="en-GB"/>
        </w:rPr>
        <w:t xml:space="preserve"> ignore</w:t>
      </w:r>
      <w:r w:rsidRPr="00BC20EB">
        <w:rPr>
          <w:rFonts w:ascii="Book Antiqua" w:hAnsi="Book Antiqua"/>
          <w:lang w:val="en-GB"/>
        </w:rPr>
        <w:t xml:space="preserve">d, despite the fact that the language of the Sodom narrative </w:t>
      </w:r>
      <w:r>
        <w:rPr>
          <w:rFonts w:ascii="Book Antiqua" w:hAnsi="Book Antiqua"/>
          <w:lang w:val="en-GB"/>
        </w:rPr>
        <w:t>bristles with</w:t>
      </w:r>
      <w:r w:rsidRPr="00BC20EB">
        <w:rPr>
          <w:rFonts w:ascii="Book Antiqua" w:hAnsi="Book Antiqua"/>
          <w:lang w:val="en-GB"/>
        </w:rPr>
        <w:t xml:space="preserve"> legal concerns and phraseology.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b/>
          <w:bCs/>
          <w:sz w:val="28"/>
          <w:szCs w:val="28"/>
          <w:lang w:val="en-GB"/>
        </w:rPr>
      </w:pPr>
      <w:r w:rsidRPr="00BC20EB">
        <w:rPr>
          <w:rFonts w:ascii="Book Antiqua" w:hAnsi="Book Antiqua"/>
          <w:b/>
          <w:bCs/>
          <w:sz w:val="28"/>
          <w:szCs w:val="28"/>
          <w:lang w:val="en-GB"/>
        </w:rPr>
        <w:t>10. TRANSLATING SODOM</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In Genesis 19 the populace assembling outside Lot’s house is described in detail regarding age groups and social status. Yet many translators focus exclusively on age. In the final passage the verb </w:t>
      </w:r>
      <w:r w:rsidRPr="00BC20EB">
        <w:rPr>
          <w:rFonts w:ascii="Book Antiqua" w:hAnsi="Book Antiqua"/>
          <w:i/>
          <w:iCs/>
          <w:lang w:val="en-GB"/>
        </w:rPr>
        <w:t>shakhav</w:t>
      </w:r>
      <w:r w:rsidRPr="00BC20EB">
        <w:rPr>
          <w:rFonts w:ascii="Book Antiqua" w:hAnsi="Book Antiqua"/>
          <w:lang w:val="en-GB"/>
        </w:rPr>
        <w:t xml:space="preserve"> (“lie down”) carries the sexual action throughout the incestuous intermezzo between Lot and his daughters. At the same time, the two occurrences of </w:t>
      </w:r>
      <w:r w:rsidR="00A050F2" w:rsidRPr="00BC20EB">
        <w:rPr>
          <w:rFonts w:ascii="Book Antiqua" w:hAnsi="Book Antiqua"/>
          <w:i/>
          <w:lang w:val="en-GB"/>
        </w:rPr>
        <w:t>yada</w:t>
      </w:r>
      <w:r w:rsidR="00A050F2" w:rsidRPr="00C64DA8">
        <w:rPr>
          <w:rFonts w:ascii="Book Antiqua" w:hAnsi="Book Antiqua"/>
          <w:i/>
          <w:iCs/>
          <w:lang w:val="en-GB"/>
        </w:rPr>
        <w:t>ħ</w:t>
      </w:r>
      <w:r w:rsidR="00A050F2" w:rsidRPr="00BC20EB">
        <w:rPr>
          <w:rFonts w:ascii="Book Antiqua" w:hAnsi="Book Antiqua"/>
          <w:i/>
          <w:lang w:val="en-GB"/>
        </w:rPr>
        <w:t xml:space="preserve"> </w:t>
      </w:r>
      <w:r w:rsidRPr="00BC20EB">
        <w:rPr>
          <w:rFonts w:ascii="Book Antiqua" w:hAnsi="Book Antiqua"/>
          <w:lang w:val="en-GB"/>
        </w:rPr>
        <w:t xml:space="preserve">are negated. </w:t>
      </w:r>
      <w:r w:rsidR="00A050F2">
        <w:rPr>
          <w:rFonts w:ascii="Book Antiqua" w:hAnsi="Book Antiqua"/>
          <w:lang w:val="en-GB"/>
        </w:rPr>
        <w:t>Viewed in context</w:t>
      </w:r>
      <w:r w:rsidRPr="00BC20EB">
        <w:rPr>
          <w:rFonts w:ascii="Book Antiqua" w:hAnsi="Book Antiqua"/>
          <w:lang w:val="en-GB"/>
        </w:rPr>
        <w:t xml:space="preserve">, </w:t>
      </w:r>
      <w:r w:rsidR="00A050F2" w:rsidRPr="00BC20EB">
        <w:rPr>
          <w:rFonts w:ascii="Book Antiqua" w:hAnsi="Book Antiqua"/>
          <w:i/>
          <w:lang w:val="en-GB"/>
        </w:rPr>
        <w:t>yada</w:t>
      </w:r>
      <w:r w:rsidR="00A050F2" w:rsidRPr="00C64DA8">
        <w:rPr>
          <w:rFonts w:ascii="Book Antiqua" w:hAnsi="Book Antiqua"/>
          <w:i/>
          <w:iCs/>
          <w:lang w:val="en-GB"/>
        </w:rPr>
        <w:t>ħ</w:t>
      </w:r>
      <w:r w:rsidR="00A050F2" w:rsidRPr="00BC20EB">
        <w:rPr>
          <w:rFonts w:ascii="Book Antiqua" w:hAnsi="Book Antiqua"/>
          <w:i/>
          <w:lang w:val="en-GB"/>
        </w:rPr>
        <w:t xml:space="preserve"> </w:t>
      </w:r>
      <w:r w:rsidRPr="00BC20EB">
        <w:rPr>
          <w:rFonts w:ascii="Book Antiqua" w:hAnsi="Book Antiqua"/>
          <w:lang w:val="en-GB"/>
        </w:rPr>
        <w:t xml:space="preserve">is clearly a non-sexual verb. The literary style of the Hebrew prose reflects the pen of a sophisticated, </w:t>
      </w:r>
      <w:r>
        <w:rPr>
          <w:rFonts w:ascii="Book Antiqua" w:hAnsi="Book Antiqua"/>
          <w:lang w:val="en-GB"/>
        </w:rPr>
        <w:t>skilful</w:t>
      </w:r>
      <w:r w:rsidRPr="00BC20EB">
        <w:rPr>
          <w:rFonts w:ascii="Book Antiqua" w:hAnsi="Book Antiqua"/>
          <w:lang w:val="en-GB"/>
        </w:rPr>
        <w:t xml:space="preserve"> narrator capable of telling a dramatic story with a minimum of linguistic effects, including </w:t>
      </w:r>
      <w:r>
        <w:rPr>
          <w:rFonts w:ascii="Book Antiqua" w:hAnsi="Book Antiqua"/>
          <w:lang w:val="en-GB"/>
        </w:rPr>
        <w:t>at the culminating moments of narrative tension</w:t>
      </w:r>
      <w:r w:rsidRPr="00BC20EB">
        <w:rPr>
          <w:rFonts w:ascii="Book Antiqua" w:hAnsi="Book Antiqua"/>
          <w:lang w:val="en-GB"/>
        </w:rPr>
        <w:t xml:space="preserve">.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In the Hebrew text, </w:t>
      </w:r>
      <w:r w:rsidR="00A050F2" w:rsidRPr="00BC20EB">
        <w:rPr>
          <w:rFonts w:ascii="Book Antiqua" w:hAnsi="Book Antiqua"/>
          <w:i/>
          <w:lang w:val="en-GB"/>
        </w:rPr>
        <w:t>yada</w:t>
      </w:r>
      <w:r w:rsidR="00A050F2" w:rsidRPr="00C64DA8">
        <w:rPr>
          <w:rFonts w:ascii="Book Antiqua" w:hAnsi="Book Antiqua"/>
          <w:i/>
          <w:iCs/>
          <w:lang w:val="en-GB"/>
        </w:rPr>
        <w:t>ħ</w:t>
      </w:r>
      <w:r w:rsidR="00A050F2" w:rsidRPr="00BC20EB">
        <w:rPr>
          <w:rFonts w:ascii="Book Antiqua" w:hAnsi="Book Antiqua"/>
          <w:i/>
          <w:lang w:val="en-GB"/>
        </w:rPr>
        <w:t xml:space="preserve"> </w:t>
      </w:r>
      <w:r w:rsidRPr="00BC20EB">
        <w:rPr>
          <w:rFonts w:ascii="Book Antiqua" w:hAnsi="Book Antiqua"/>
          <w:lang w:val="en-GB"/>
        </w:rPr>
        <w:t xml:space="preserve">is the cornerstone in the story’s structure, occurring twice at the beginning, twice in the middle, and twice towards the end. In this manner, the three incidents become connected thematically and stylistically. The popular sexual interpretation of the story of Sodom (paradigm D) exclusively focuses on </w:t>
      </w:r>
      <w:r w:rsidR="00A050F2" w:rsidRPr="00BC20EB">
        <w:rPr>
          <w:rFonts w:ascii="Book Antiqua" w:hAnsi="Book Antiqua"/>
          <w:i/>
          <w:lang w:val="en-GB"/>
        </w:rPr>
        <w:t>yada</w:t>
      </w:r>
      <w:r w:rsidR="00A050F2" w:rsidRPr="00C64DA8">
        <w:rPr>
          <w:rFonts w:ascii="Book Antiqua" w:hAnsi="Book Antiqua"/>
          <w:i/>
          <w:iCs/>
          <w:lang w:val="en-GB"/>
        </w:rPr>
        <w:t>ħ</w:t>
      </w:r>
      <w:r w:rsidR="00A050F2" w:rsidRPr="00BC20EB">
        <w:rPr>
          <w:rFonts w:ascii="Book Antiqua" w:hAnsi="Book Antiqua"/>
          <w:i/>
          <w:lang w:val="en-GB"/>
        </w:rPr>
        <w:t xml:space="preserve"> </w:t>
      </w:r>
      <w:r w:rsidRPr="00BC20EB">
        <w:rPr>
          <w:rFonts w:ascii="Book Antiqua" w:hAnsi="Book Antiqua"/>
          <w:lang w:val="en-GB"/>
        </w:rPr>
        <w:t>in Gen. 19:5 and 19:8, ignoring the other four occurrences</w:t>
      </w:r>
      <w:r>
        <w:rPr>
          <w:rFonts w:ascii="Book Antiqua" w:hAnsi="Book Antiqua"/>
          <w:lang w:val="en-GB"/>
        </w:rPr>
        <w:t xml:space="preserve"> </w:t>
      </w:r>
      <w:r w:rsidR="00A050F2">
        <w:rPr>
          <w:rFonts w:ascii="Book Antiqua" w:hAnsi="Book Antiqua"/>
          <w:lang w:val="en-GB"/>
        </w:rPr>
        <w:t>at</w:t>
      </w:r>
      <w:r>
        <w:rPr>
          <w:rFonts w:ascii="Book Antiqua" w:hAnsi="Book Antiqua"/>
          <w:lang w:val="en-GB"/>
        </w:rPr>
        <w:t xml:space="preserve"> 18:19,21 and 19:33,35</w:t>
      </w:r>
      <w:r w:rsidRPr="00BC20EB">
        <w:rPr>
          <w:rFonts w:ascii="Book Antiqua" w:hAnsi="Book Antiqua"/>
          <w:lang w:val="en-GB"/>
        </w:rPr>
        <w:t xml:space="preserve">. This </w:t>
      </w:r>
      <w:r>
        <w:rPr>
          <w:rFonts w:ascii="Book Antiqua" w:hAnsi="Book Antiqua"/>
          <w:lang w:val="en-GB"/>
        </w:rPr>
        <w:t xml:space="preserve">flawed </w:t>
      </w:r>
      <w:r w:rsidRPr="00BC20EB">
        <w:rPr>
          <w:rFonts w:ascii="Book Antiqua" w:hAnsi="Book Antiqua"/>
          <w:lang w:val="en-GB"/>
        </w:rPr>
        <w:t>approach leads to stylistic inconsistenc</w:t>
      </w:r>
      <w:r>
        <w:rPr>
          <w:rFonts w:ascii="Book Antiqua" w:hAnsi="Book Antiqua"/>
          <w:lang w:val="en-GB"/>
        </w:rPr>
        <w:t>ies</w:t>
      </w:r>
      <w:r w:rsidRPr="00BC20EB">
        <w:rPr>
          <w:rFonts w:ascii="Book Antiqua" w:hAnsi="Book Antiqua"/>
          <w:lang w:val="en-GB"/>
        </w:rPr>
        <w:t xml:space="preserve"> in many English versions of the Bible</w:t>
      </w:r>
      <w:r>
        <w:rPr>
          <w:rFonts w:ascii="Book Antiqua" w:hAnsi="Book Antiqua"/>
          <w:lang w:val="en-GB"/>
        </w:rPr>
        <w:t xml:space="preserve"> as they</w:t>
      </w:r>
      <w:r w:rsidRPr="00BC20EB">
        <w:rPr>
          <w:rFonts w:ascii="Book Antiqua" w:hAnsi="Book Antiqua"/>
          <w:lang w:val="en-GB"/>
        </w:rPr>
        <w:t xml:space="preserve"> tend to render </w:t>
      </w:r>
      <w:r w:rsidR="00A050F2" w:rsidRPr="00BC20EB">
        <w:rPr>
          <w:rFonts w:ascii="Book Antiqua" w:hAnsi="Book Antiqua"/>
          <w:i/>
          <w:lang w:val="en-GB"/>
        </w:rPr>
        <w:t>yada</w:t>
      </w:r>
      <w:r w:rsidR="00A050F2" w:rsidRPr="00C64DA8">
        <w:rPr>
          <w:rFonts w:ascii="Book Antiqua" w:hAnsi="Book Antiqua"/>
          <w:i/>
          <w:iCs/>
          <w:lang w:val="en-GB"/>
        </w:rPr>
        <w:t>ħ</w:t>
      </w:r>
      <w:r w:rsidR="00A050F2" w:rsidRPr="00BC20EB">
        <w:rPr>
          <w:rFonts w:ascii="Book Antiqua" w:hAnsi="Book Antiqua"/>
          <w:i/>
          <w:lang w:val="en-GB"/>
        </w:rPr>
        <w:t xml:space="preserve"> </w:t>
      </w:r>
      <w:r w:rsidRPr="00BC20EB">
        <w:rPr>
          <w:rFonts w:ascii="Book Antiqua" w:hAnsi="Book Antiqua"/>
          <w:lang w:val="en-GB"/>
        </w:rPr>
        <w:t xml:space="preserve">with a different English term in each case. Some translators use as many as five different renderings of this verb whereby the structural coherence of the original text is lost. There are precedents in the Septuagint and the Vulgate, and Martin Luther’s German translation follows the pattern set by the Vulgate. In Greek and Latin prose, the relevant verbs for “knowing” sometimes have sexual connotations. Most Christian translators inappropriately take the same view of Hebrew </w:t>
      </w:r>
      <w:r w:rsidR="00A050F2" w:rsidRPr="00BC20EB">
        <w:rPr>
          <w:rFonts w:ascii="Book Antiqua" w:hAnsi="Book Antiqua"/>
          <w:i/>
          <w:lang w:val="en-GB"/>
        </w:rPr>
        <w:t>yada</w:t>
      </w:r>
      <w:r w:rsidR="00A050F2" w:rsidRPr="00C64DA8">
        <w:rPr>
          <w:rFonts w:ascii="Book Antiqua" w:hAnsi="Book Antiqua"/>
          <w:i/>
          <w:iCs/>
          <w:lang w:val="en-GB"/>
        </w:rPr>
        <w:t>ħ</w:t>
      </w:r>
      <w:r w:rsidRPr="00BC20EB">
        <w:rPr>
          <w:rFonts w:ascii="Book Antiqua" w:hAnsi="Book Antiqua"/>
          <w:lang w:val="en-GB"/>
        </w:rPr>
        <w:t xml:space="preserve">. </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b/>
          <w:bCs/>
          <w:sz w:val="28"/>
          <w:szCs w:val="28"/>
          <w:lang w:val="en-GB"/>
        </w:rPr>
      </w:pPr>
      <w:r w:rsidRPr="00BC20EB">
        <w:rPr>
          <w:rFonts w:ascii="Book Antiqua" w:hAnsi="Book Antiqua"/>
          <w:b/>
          <w:bCs/>
          <w:sz w:val="28"/>
          <w:szCs w:val="28"/>
          <w:lang w:val="en-GB"/>
        </w:rPr>
        <w:t>11. THE VICTIM OF SODOM</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Lot the foreigner and his family are victims of the injustice committed in Sodom. Lot’s life differs radically from that of his uncle Abraham. While the latter is blessed, Lot suffers gradual decline from the moment he chooses to settle in Sodom. His fate may be interpreted as a warning to those Israelites who abandon the way of Y</w:t>
      </w:r>
      <w:r w:rsidRPr="00BC20EB">
        <w:rPr>
          <w:rFonts w:ascii="Book Antiqua" w:hAnsi="Book Antiqua"/>
          <w:sz w:val="20"/>
          <w:szCs w:val="20"/>
          <w:lang w:val="en-GB"/>
        </w:rPr>
        <w:t>HWH</w:t>
      </w:r>
      <w:r w:rsidRPr="00BC20EB">
        <w:rPr>
          <w:rFonts w:ascii="Book Antiqua" w:hAnsi="Book Antiqua"/>
          <w:lang w:val="en-GB"/>
        </w:rPr>
        <w:t>. Lot marries a local woman with whom he fathers two daughters, but no sons. He never achieves full integration. The moment he offers overnight hospitality to two wayfaring strangers, a conflict erupts between him and the townsmen who demand the travellers to be handed over for interrogation</w:t>
      </w:r>
      <w:r w:rsidR="002C6DFC">
        <w:rPr>
          <w:rFonts w:ascii="Book Antiqua" w:hAnsi="Book Antiqua"/>
          <w:lang w:val="en-GB"/>
        </w:rPr>
        <w:t xml:space="preserve"> (</w:t>
      </w:r>
      <w:r w:rsidR="002C6DFC" w:rsidRPr="00BC20EB">
        <w:rPr>
          <w:rFonts w:ascii="Book Antiqua" w:hAnsi="Book Antiqua"/>
          <w:i/>
          <w:lang w:val="en-GB"/>
        </w:rPr>
        <w:t>yada</w:t>
      </w:r>
      <w:r w:rsidR="002C6DFC" w:rsidRPr="00C64DA8">
        <w:rPr>
          <w:rFonts w:ascii="Book Antiqua" w:hAnsi="Book Antiqua"/>
          <w:i/>
          <w:iCs/>
          <w:lang w:val="en-GB"/>
        </w:rPr>
        <w:t>ħ</w:t>
      </w:r>
      <w:r w:rsidR="002C6DFC">
        <w:rPr>
          <w:rFonts w:ascii="Book Antiqua" w:hAnsi="Book Antiqua"/>
          <w:lang w:val="en-GB"/>
        </w:rPr>
        <w:t>)</w:t>
      </w:r>
      <w:r w:rsidRPr="00BC20EB">
        <w:rPr>
          <w:rFonts w:ascii="Book Antiqua" w:hAnsi="Book Antiqua"/>
          <w:lang w:val="en-GB"/>
        </w:rPr>
        <w:t xml:space="preserve">. Lot rejects their request but, given his low social status, he is aware that he must necessarily muster a token of his loyalty. Therefore, </w:t>
      </w:r>
      <w:r>
        <w:rPr>
          <w:rFonts w:ascii="Book Antiqua" w:hAnsi="Book Antiqua"/>
          <w:lang w:val="en-GB"/>
        </w:rPr>
        <w:t>he</w:t>
      </w:r>
      <w:r w:rsidRPr="00BC20EB">
        <w:rPr>
          <w:rFonts w:ascii="Book Antiqua" w:hAnsi="Book Antiqua"/>
          <w:lang w:val="en-GB"/>
        </w:rPr>
        <w:t xml:space="preserve"> suggests a compromise. If they will let him perform his hosting duties, </w:t>
      </w:r>
      <w:r>
        <w:rPr>
          <w:rFonts w:ascii="Book Antiqua" w:hAnsi="Book Antiqua"/>
          <w:lang w:val="en-GB"/>
        </w:rPr>
        <w:t>Lot</w:t>
      </w:r>
      <w:r w:rsidRPr="00BC20EB">
        <w:rPr>
          <w:rFonts w:ascii="Book Antiqua" w:hAnsi="Book Antiqua"/>
          <w:lang w:val="en-GB"/>
        </w:rPr>
        <w:t xml:space="preserve"> is willing to hand over his two </w:t>
      </w:r>
      <w:r w:rsidR="002C6DFC">
        <w:rPr>
          <w:rFonts w:ascii="Book Antiqua" w:hAnsi="Book Antiqua"/>
          <w:lang w:val="en-GB"/>
        </w:rPr>
        <w:t xml:space="preserve">unmarried </w:t>
      </w:r>
      <w:r w:rsidRPr="00BC20EB">
        <w:rPr>
          <w:rFonts w:ascii="Book Antiqua" w:hAnsi="Book Antiqua"/>
          <w:lang w:val="en-GB"/>
        </w:rPr>
        <w:t>children as a pledge. This situation mirr</w:t>
      </w:r>
      <w:r>
        <w:rPr>
          <w:rFonts w:ascii="Book Antiqua" w:hAnsi="Book Antiqua"/>
          <w:lang w:val="en-GB"/>
        </w:rPr>
        <w:t>ors the social status of women and</w:t>
      </w:r>
      <w:r w:rsidRPr="00BC20EB">
        <w:rPr>
          <w:rFonts w:ascii="Book Antiqua" w:hAnsi="Book Antiqua"/>
          <w:lang w:val="en-GB"/>
        </w:rPr>
        <w:t xml:space="preserve"> children in antiquity and their co</w:t>
      </w:r>
      <w:r>
        <w:rPr>
          <w:rFonts w:ascii="Book Antiqua" w:hAnsi="Book Antiqua"/>
          <w:lang w:val="en-GB"/>
        </w:rPr>
        <w:t>ncomitant vulnerable condition as bargaining chips.</w:t>
      </w:r>
    </w:p>
    <w:p w:rsidR="00A71097" w:rsidRPr="00BC20EB" w:rsidRDefault="00A71097" w:rsidP="00A71097">
      <w:pPr>
        <w:jc w:val="both"/>
        <w:rPr>
          <w:rFonts w:ascii="Book Antiqua" w:hAnsi="Book Antiqua"/>
          <w:lang w:val="en-GB"/>
        </w:rPr>
      </w:pPr>
    </w:p>
    <w:p w:rsidR="00A71097" w:rsidRPr="00BC20EB" w:rsidRDefault="00A71097" w:rsidP="00A71097">
      <w:pPr>
        <w:jc w:val="both"/>
        <w:rPr>
          <w:rFonts w:ascii="Book Antiqua" w:hAnsi="Book Antiqua"/>
          <w:lang w:val="en-GB"/>
        </w:rPr>
      </w:pPr>
      <w:r w:rsidRPr="00BC20EB">
        <w:rPr>
          <w:rFonts w:ascii="Book Antiqua" w:hAnsi="Book Antiqua"/>
          <w:lang w:val="en-GB"/>
        </w:rPr>
        <w:t xml:space="preserve">As previously mentioned, the legal aspects of this text are remarkable. A significant element is the noun </w:t>
      </w:r>
      <w:r w:rsidRPr="00BC20EB">
        <w:rPr>
          <w:rFonts w:ascii="Book Antiqua" w:hAnsi="Book Antiqua"/>
          <w:i/>
          <w:lang w:val="en-GB"/>
        </w:rPr>
        <w:t>za</w:t>
      </w:r>
      <w:r w:rsidR="002C6DFC" w:rsidRPr="00C64DA8">
        <w:rPr>
          <w:rFonts w:ascii="Book Antiqua" w:hAnsi="Book Antiqua"/>
          <w:i/>
          <w:iCs/>
          <w:lang w:val="en-GB"/>
        </w:rPr>
        <w:t>ħ</w:t>
      </w:r>
      <w:r w:rsidRPr="00BC20EB">
        <w:rPr>
          <w:rFonts w:ascii="Book Antiqua" w:hAnsi="Book Antiqua" w:cs="Arial"/>
          <w:i/>
          <w:lang w:val="en-GB" w:eastAsia="es-ES"/>
        </w:rPr>
        <w:t>aqah</w:t>
      </w:r>
      <w:r w:rsidRPr="00BC20EB">
        <w:rPr>
          <w:rFonts w:ascii="Book Antiqua" w:hAnsi="Book Antiqua"/>
          <w:lang w:val="en-GB"/>
        </w:rPr>
        <w:t xml:space="preserve"> (“complaint”, “outcry”). The three occurrences of </w:t>
      </w:r>
      <w:r>
        <w:rPr>
          <w:rFonts w:ascii="Book Antiqua" w:hAnsi="Book Antiqua"/>
          <w:i/>
          <w:lang w:val="en-GB"/>
        </w:rPr>
        <w:t>z</w:t>
      </w:r>
      <w:r w:rsidRPr="00BC20EB">
        <w:rPr>
          <w:rFonts w:ascii="Book Antiqua" w:hAnsi="Book Antiqua"/>
          <w:i/>
          <w:lang w:val="en-GB"/>
        </w:rPr>
        <w:t>a</w:t>
      </w:r>
      <w:r w:rsidR="002C6DFC" w:rsidRPr="00C64DA8">
        <w:rPr>
          <w:rFonts w:ascii="Book Antiqua" w:hAnsi="Book Antiqua"/>
          <w:i/>
          <w:iCs/>
          <w:lang w:val="en-GB"/>
        </w:rPr>
        <w:t>ħ</w:t>
      </w:r>
      <w:r w:rsidRPr="00BC20EB">
        <w:rPr>
          <w:rFonts w:ascii="Book Antiqua" w:hAnsi="Book Antiqua" w:cs="Arial"/>
          <w:i/>
          <w:lang w:val="en-GB" w:eastAsia="es-ES"/>
        </w:rPr>
        <w:t>aqah</w:t>
      </w:r>
      <w:r w:rsidRPr="00BC20EB">
        <w:rPr>
          <w:rFonts w:ascii="Book Antiqua" w:hAnsi="Book Antiqua"/>
          <w:lang w:val="en-GB"/>
        </w:rPr>
        <w:t xml:space="preserve"> resonate with Exodus 22 where the Israelites are sternly warned against mistreating foreigners. A major translation mistake occurs in Gen. 19:9 with respect to the two occurrences of the Hebrew verb </w:t>
      </w:r>
      <w:r w:rsidRPr="00BC20EB">
        <w:rPr>
          <w:rFonts w:ascii="Book Antiqua" w:hAnsi="Book Antiqua"/>
          <w:i/>
          <w:iCs/>
          <w:lang w:val="en-GB"/>
        </w:rPr>
        <w:t>nagash</w:t>
      </w:r>
      <w:r w:rsidRPr="00BC20EB">
        <w:rPr>
          <w:rFonts w:ascii="Book Antiqua" w:hAnsi="Book Antiqua"/>
          <w:lang w:val="en-GB"/>
        </w:rPr>
        <w:t xml:space="preserve"> (“come forward” or “draw near”, e.g. appear before a judge). In one case the verb is rendered correctly (“move forward”, 19:9b) but, surprisingly, in the other position </w:t>
      </w:r>
      <w:r w:rsidR="002C6DFC">
        <w:rPr>
          <w:rFonts w:ascii="Book Antiqua" w:hAnsi="Book Antiqua"/>
          <w:lang w:val="en-GB"/>
        </w:rPr>
        <w:t>most</w:t>
      </w:r>
      <w:r w:rsidRPr="00BC20EB">
        <w:rPr>
          <w:rFonts w:ascii="Book Antiqua" w:hAnsi="Book Antiqua"/>
          <w:lang w:val="en-GB"/>
        </w:rPr>
        <w:t xml:space="preserve"> translators change the meaning </w:t>
      </w:r>
      <w:r>
        <w:rPr>
          <w:rFonts w:ascii="Book Antiqua" w:hAnsi="Book Antiqua"/>
          <w:lang w:val="en-GB"/>
        </w:rPr>
        <w:t xml:space="preserve">completely </w:t>
      </w:r>
      <w:r w:rsidRPr="00BC20EB">
        <w:rPr>
          <w:rFonts w:ascii="Book Antiqua" w:hAnsi="Book Antiqua"/>
          <w:lang w:val="en-GB"/>
        </w:rPr>
        <w:t>(“stand back”</w:t>
      </w:r>
      <w:r w:rsidR="002C6DFC">
        <w:rPr>
          <w:rFonts w:ascii="Book Antiqua" w:hAnsi="Book Antiqua"/>
          <w:lang w:val="en-GB"/>
        </w:rPr>
        <w:t xml:space="preserve"> or “get out of the way”</w:t>
      </w:r>
      <w:r w:rsidRPr="00BC20EB">
        <w:rPr>
          <w:rFonts w:ascii="Book Antiqua" w:hAnsi="Book Antiqua"/>
          <w:lang w:val="en-GB"/>
        </w:rPr>
        <w:t>, 19:9a). Th</w:t>
      </w:r>
      <w:r>
        <w:rPr>
          <w:rFonts w:ascii="Book Antiqua" w:hAnsi="Book Antiqua"/>
          <w:lang w:val="en-GB"/>
        </w:rPr>
        <w:t>is</w:t>
      </w:r>
      <w:r w:rsidR="002C6DFC">
        <w:rPr>
          <w:rFonts w:ascii="Book Antiqua" w:hAnsi="Book Antiqua"/>
          <w:lang w:val="en-GB"/>
        </w:rPr>
        <w:t xml:space="preserve"> major translation</w:t>
      </w:r>
      <w:r w:rsidRPr="00BC20EB">
        <w:rPr>
          <w:rFonts w:ascii="Book Antiqua" w:hAnsi="Book Antiqua"/>
          <w:lang w:val="en-GB"/>
        </w:rPr>
        <w:t xml:space="preserve"> error can be traced all the way back to the Vulgate and the Septuagint.  </w:t>
      </w:r>
    </w:p>
    <w:p w:rsidR="008C16E8" w:rsidRPr="00A71097" w:rsidRDefault="008C16E8">
      <w:pPr>
        <w:rPr>
          <w:lang w:val="en-GB"/>
        </w:rPr>
      </w:pPr>
    </w:p>
    <w:sectPr w:rsidR="008C16E8" w:rsidRPr="00A71097" w:rsidSect="00582D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03"/>
    <w:rsid w:val="002C6DFC"/>
    <w:rsid w:val="00305CA1"/>
    <w:rsid w:val="0035616A"/>
    <w:rsid w:val="00357A8E"/>
    <w:rsid w:val="00582D90"/>
    <w:rsid w:val="00710C1C"/>
    <w:rsid w:val="00815D03"/>
    <w:rsid w:val="00875E94"/>
    <w:rsid w:val="008C16E8"/>
    <w:rsid w:val="00A050F2"/>
    <w:rsid w:val="00A71097"/>
    <w:rsid w:val="00C421CF"/>
    <w:rsid w:val="00C56004"/>
    <w:rsid w:val="00C64DA8"/>
    <w:rsid w:val="00CC04C8"/>
    <w:rsid w:val="00D1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C3817-3B92-9447-88AA-82DF6334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1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Renato Lings</dc:creator>
  <cp:lastModifiedBy>jetty Van Den Berghe</cp:lastModifiedBy>
  <cp:revision>2</cp:revision>
  <cp:lastPrinted>2020-05-10T20:41:00Z</cp:lastPrinted>
  <dcterms:created xsi:type="dcterms:W3CDTF">2020-05-13T23:50:00Z</dcterms:created>
  <dcterms:modified xsi:type="dcterms:W3CDTF">2020-05-13T23:50:00Z</dcterms:modified>
</cp:coreProperties>
</file>